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13C9F3" w14:textId="38E24091" w:rsidR="00D91039" w:rsidRPr="001A40E2" w:rsidRDefault="00D91039" w:rsidP="00D91039">
      <w:pPr>
        <w:spacing w:after="180"/>
        <w:rPr>
          <w:b/>
          <w:sz w:val="44"/>
          <w:szCs w:val="44"/>
        </w:rPr>
      </w:pPr>
      <w:r>
        <w:rPr>
          <w:b/>
          <w:sz w:val="44"/>
          <w:szCs w:val="44"/>
        </w:rPr>
        <w:t>Water in syringe</w:t>
      </w:r>
    </w:p>
    <w:p w14:paraId="76374EBC" w14:textId="77777777" w:rsidR="00D91039" w:rsidRDefault="00D91039" w:rsidP="00D91039">
      <w:pPr>
        <w:spacing w:after="180"/>
      </w:pPr>
      <w:r>
        <w:t>Y</w:t>
      </w:r>
      <w:r w:rsidRPr="00563C6F">
        <w:t xml:space="preserve">ou are going to </w:t>
      </w:r>
      <w:r>
        <w:t>use the particle model to predict and explain what will happen in this demonstration.</w:t>
      </w:r>
    </w:p>
    <w:p w14:paraId="42D46BDF" w14:textId="2519962C" w:rsidR="00D91039" w:rsidRDefault="00D91039" w:rsidP="00D91039">
      <w:pPr>
        <w:spacing w:after="180"/>
      </w:pPr>
      <w:r>
        <w:t xml:space="preserve">A glass syringe is heated in an oven to 150 </w:t>
      </w:r>
      <w:r>
        <w:rPr>
          <w:rFonts w:ascii="Courier New" w:hAnsi="Courier New" w:cs="Courier New"/>
        </w:rPr>
        <w:t>º</w:t>
      </w:r>
      <w:r>
        <w:t>C.  A small drop of water will be injected into the ca</w:t>
      </w:r>
      <w:r w:rsidR="00CC692A">
        <w:t>p</w:t>
      </w:r>
      <w:r>
        <w:t xml:space="preserve"> at the end of the glass syringe. </w:t>
      </w:r>
    </w:p>
    <w:p w14:paraId="6A3B214D" w14:textId="77777777" w:rsidR="00D91039" w:rsidRDefault="00D91039" w:rsidP="00D91039">
      <w:pPr>
        <w:spacing w:after="180"/>
        <w:jc w:val="center"/>
      </w:pPr>
      <w:r>
        <w:rPr>
          <w:noProof/>
          <w:lang w:eastAsia="en-GB"/>
        </w:rPr>
        <w:drawing>
          <wp:inline distT="0" distB="0" distL="0" distR="0" wp14:anchorId="356C4B03" wp14:editId="16867F58">
            <wp:extent cx="2739617" cy="1460837"/>
            <wp:effectExtent l="0" t="0" r="381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751823" cy="1467346"/>
                    </a:xfrm>
                    <a:prstGeom prst="rect">
                      <a:avLst/>
                    </a:prstGeom>
                  </pic:spPr>
                </pic:pic>
              </a:graphicData>
            </a:graphic>
          </wp:inline>
        </w:drawing>
      </w:r>
    </w:p>
    <w:p w14:paraId="79797843" w14:textId="77777777" w:rsidR="00D91039" w:rsidRPr="00E172C6" w:rsidRDefault="00D91039" w:rsidP="00D91039">
      <w:pPr>
        <w:spacing w:after="180"/>
        <w:rPr>
          <w:b/>
        </w:rPr>
      </w:pPr>
      <w:r>
        <w:rPr>
          <w:b/>
        </w:rPr>
        <w:t>Predict</w:t>
      </w:r>
    </w:p>
    <w:p w14:paraId="440794C1" w14:textId="77777777" w:rsidR="00D91039" w:rsidRDefault="00D91039" w:rsidP="00D91039">
      <w:pPr>
        <w:spacing w:after="180"/>
        <w:ind w:right="1371"/>
      </w:pPr>
      <w:r>
        <w:t>What will happen when the drop of water is injected into the hot syringe?</w:t>
      </w:r>
    </w:p>
    <w:p w14:paraId="71E29809" w14:textId="77777777" w:rsidR="00D91039" w:rsidRDefault="00D91039" w:rsidP="00D91039">
      <w:pPr>
        <w:spacing w:after="180"/>
      </w:pPr>
      <w:r>
        <w:t xml:space="preserve">Write down your </w:t>
      </w:r>
      <w:r w:rsidRPr="00563C6F">
        <w:rPr>
          <w:b/>
        </w:rPr>
        <w:t>prediction</w:t>
      </w:r>
      <w:r>
        <w:t>.</w:t>
      </w:r>
    </w:p>
    <w:p w14:paraId="1CEF8F00" w14:textId="77777777" w:rsidR="00D91039" w:rsidRDefault="00D91039" w:rsidP="00D91039">
      <w:pPr>
        <w:tabs>
          <w:tab w:val="right" w:leader="dot" w:pos="7655"/>
        </w:tabs>
        <w:spacing w:after="180"/>
      </w:pPr>
      <w:r>
        <w:tab/>
      </w:r>
    </w:p>
    <w:p w14:paraId="2D4DC50C" w14:textId="77777777" w:rsidR="00D91039" w:rsidRDefault="00D91039" w:rsidP="00D91039">
      <w:pPr>
        <w:tabs>
          <w:tab w:val="right" w:leader="dot" w:pos="7655"/>
        </w:tabs>
        <w:spacing w:after="180"/>
      </w:pPr>
      <w:r>
        <w:tab/>
      </w:r>
    </w:p>
    <w:p w14:paraId="1B8D333B" w14:textId="77777777" w:rsidR="00D91039" w:rsidRPr="00E172C6" w:rsidRDefault="00D91039" w:rsidP="00D91039">
      <w:pPr>
        <w:spacing w:after="180"/>
        <w:rPr>
          <w:b/>
        </w:rPr>
      </w:pPr>
      <w:r>
        <w:rPr>
          <w:b/>
        </w:rPr>
        <w:t>Explain</w:t>
      </w:r>
    </w:p>
    <w:p w14:paraId="12F3180E" w14:textId="77777777" w:rsidR="00D91039" w:rsidRDefault="00D91039" w:rsidP="00D91039">
      <w:pPr>
        <w:spacing w:after="180"/>
      </w:pPr>
      <w:r>
        <w:rPr>
          <w:lang w:eastAsia="en-GB"/>
        </w:rPr>
        <w:t>Write down the thinking behind your prediction.</w:t>
      </w:r>
    </w:p>
    <w:p w14:paraId="12EE9EB7" w14:textId="77777777" w:rsidR="00D91039" w:rsidRDefault="00D91039" w:rsidP="00D91039">
      <w:pPr>
        <w:tabs>
          <w:tab w:val="right" w:leader="dot" w:pos="7655"/>
        </w:tabs>
        <w:spacing w:after="180"/>
      </w:pPr>
      <w:r>
        <w:tab/>
      </w:r>
    </w:p>
    <w:p w14:paraId="674B8CD9" w14:textId="77777777" w:rsidR="00D91039" w:rsidRDefault="00D91039" w:rsidP="00D91039">
      <w:pPr>
        <w:tabs>
          <w:tab w:val="right" w:leader="dot" w:pos="7655"/>
        </w:tabs>
        <w:spacing w:after="180"/>
      </w:pPr>
      <w:r>
        <w:tab/>
      </w:r>
    </w:p>
    <w:p w14:paraId="58674DC7" w14:textId="77777777" w:rsidR="00D91039" w:rsidRDefault="00D91039" w:rsidP="00D91039">
      <w:pPr>
        <w:spacing w:after="180"/>
        <w:rPr>
          <w:b/>
        </w:rPr>
      </w:pPr>
      <w:r>
        <w:rPr>
          <w:b/>
        </w:rPr>
        <w:t>Observe</w:t>
      </w:r>
    </w:p>
    <w:p w14:paraId="0E1FA92E" w14:textId="77777777" w:rsidR="00D91039" w:rsidRPr="000E3392" w:rsidRDefault="00D91039" w:rsidP="00D91039">
      <w:pPr>
        <w:spacing w:after="180"/>
        <w:rPr>
          <w:b/>
        </w:rPr>
      </w:pPr>
      <w:r w:rsidRPr="000E3392">
        <w:t>Describe what happens.</w:t>
      </w:r>
    </w:p>
    <w:p w14:paraId="6FAA140A" w14:textId="77777777" w:rsidR="00D91039" w:rsidRDefault="00D91039" w:rsidP="00D91039">
      <w:pPr>
        <w:tabs>
          <w:tab w:val="right" w:leader="dot" w:pos="7655"/>
        </w:tabs>
        <w:spacing w:after="180"/>
      </w:pPr>
      <w:r>
        <w:tab/>
      </w:r>
    </w:p>
    <w:p w14:paraId="6ACFA4AA" w14:textId="77777777" w:rsidR="00D91039" w:rsidRPr="000E3392" w:rsidRDefault="00D91039" w:rsidP="00D91039">
      <w:pPr>
        <w:tabs>
          <w:tab w:val="right" w:leader="dot" w:pos="7655"/>
        </w:tabs>
        <w:spacing w:after="180"/>
      </w:pPr>
      <w:r>
        <w:tab/>
      </w:r>
    </w:p>
    <w:p w14:paraId="3AECF04A" w14:textId="77777777" w:rsidR="00D91039" w:rsidRPr="00E172C6" w:rsidRDefault="00D91039" w:rsidP="00D91039">
      <w:pPr>
        <w:spacing w:after="180"/>
        <w:rPr>
          <w:b/>
        </w:rPr>
      </w:pPr>
      <w:r>
        <w:rPr>
          <w:b/>
        </w:rPr>
        <w:t>Explain</w:t>
      </w:r>
    </w:p>
    <w:p w14:paraId="2ECB1B54" w14:textId="77777777" w:rsidR="00D91039" w:rsidRDefault="00D91039" w:rsidP="00D91039">
      <w:pPr>
        <w:spacing w:after="180"/>
        <w:ind w:right="1371"/>
      </w:pPr>
      <w:r>
        <w:t>Were</w:t>
      </w:r>
      <w:r w:rsidRPr="001D7FBB">
        <w:t xml:space="preserve"> your prediction and explanation </w:t>
      </w:r>
      <w:r>
        <w:t>correct?</w:t>
      </w:r>
    </w:p>
    <w:p w14:paraId="40E43431" w14:textId="77777777" w:rsidR="00D91039" w:rsidRDefault="00D91039" w:rsidP="00D91039">
      <w:pPr>
        <w:spacing w:after="180"/>
        <w:ind w:right="1371"/>
      </w:pPr>
      <w:r>
        <w:t>If not, can you explain what you observed?</w:t>
      </w:r>
    </w:p>
    <w:p w14:paraId="0DB30B01" w14:textId="77777777" w:rsidR="00D91039" w:rsidRDefault="00D91039" w:rsidP="00D91039">
      <w:pPr>
        <w:tabs>
          <w:tab w:val="right" w:leader="dot" w:pos="7655"/>
        </w:tabs>
        <w:spacing w:after="180"/>
      </w:pPr>
      <w:r>
        <w:tab/>
      </w:r>
    </w:p>
    <w:p w14:paraId="28B9D89E" w14:textId="77777777" w:rsidR="00D91039" w:rsidRDefault="00D91039" w:rsidP="00D91039">
      <w:pPr>
        <w:tabs>
          <w:tab w:val="right" w:leader="dot" w:pos="7655"/>
        </w:tabs>
        <w:spacing w:after="180"/>
      </w:pPr>
      <w:r>
        <w:tab/>
      </w:r>
    </w:p>
    <w:p w14:paraId="7CB7E229" w14:textId="77777777" w:rsidR="00D91039" w:rsidRDefault="00D91039" w:rsidP="00D91039">
      <w:pPr>
        <w:spacing w:after="180"/>
      </w:pPr>
    </w:p>
    <w:p w14:paraId="06FADE95" w14:textId="77777777" w:rsidR="00201AC2" w:rsidRPr="00201AC2" w:rsidRDefault="00201AC2" w:rsidP="006F3279">
      <w:pPr>
        <w:spacing w:after="240"/>
        <w:rPr>
          <w:szCs w:val="18"/>
        </w:rPr>
      </w:pPr>
    </w:p>
    <w:p w14:paraId="6139B0E6" w14:textId="77777777" w:rsidR="00201AC2" w:rsidRPr="00201AC2" w:rsidRDefault="00201AC2" w:rsidP="006F3279">
      <w:pPr>
        <w:spacing w:after="240"/>
        <w:rPr>
          <w:szCs w:val="18"/>
        </w:rPr>
      </w:pPr>
    </w:p>
    <w:p w14:paraId="7D445F49"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43087DC3" w14:textId="49B30CE0" w:rsidR="00287876" w:rsidRPr="006F3279" w:rsidRDefault="0010427F"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D91039">
        <w:rPr>
          <w:i/>
          <w:sz w:val="18"/>
          <w:szCs w:val="18"/>
        </w:rPr>
        <w:t>CPS</w:t>
      </w:r>
      <w:r>
        <w:rPr>
          <w:i/>
          <w:sz w:val="18"/>
          <w:szCs w:val="18"/>
        </w:rPr>
        <w:t xml:space="preserve">: </w:t>
      </w:r>
      <w:r w:rsidR="00D91039">
        <w:rPr>
          <w:i/>
          <w:sz w:val="18"/>
          <w:szCs w:val="18"/>
        </w:rPr>
        <w:t>Particles</w:t>
      </w:r>
      <w:r w:rsidR="00380AC4">
        <w:rPr>
          <w:i/>
          <w:sz w:val="18"/>
          <w:szCs w:val="18"/>
        </w:rPr>
        <w:t xml:space="preserve"> </w:t>
      </w:r>
      <w:r w:rsidR="00D91039">
        <w:rPr>
          <w:i/>
          <w:sz w:val="18"/>
          <w:szCs w:val="18"/>
        </w:rPr>
        <w:t xml:space="preserve">and </w:t>
      </w:r>
      <w:r w:rsidR="00BB1934">
        <w:rPr>
          <w:i/>
          <w:sz w:val="18"/>
          <w:szCs w:val="18"/>
        </w:rPr>
        <w:t>structure</w:t>
      </w:r>
      <w:r>
        <w:rPr>
          <w:i/>
          <w:sz w:val="18"/>
          <w:szCs w:val="18"/>
        </w:rPr>
        <w:t xml:space="preserve"> &gt; Topic </w:t>
      </w:r>
      <w:r w:rsidR="00D91039">
        <w:rPr>
          <w:i/>
          <w:sz w:val="18"/>
          <w:szCs w:val="18"/>
        </w:rPr>
        <w:t>CPS1</w:t>
      </w:r>
      <w:r>
        <w:rPr>
          <w:i/>
          <w:sz w:val="18"/>
          <w:szCs w:val="18"/>
        </w:rPr>
        <w:t xml:space="preserve">: </w:t>
      </w:r>
      <w:r w:rsidR="00991872">
        <w:rPr>
          <w:i/>
          <w:sz w:val="18"/>
          <w:szCs w:val="18"/>
        </w:rPr>
        <w:t>Substances and mixtures</w:t>
      </w:r>
      <w:r w:rsidRPr="00CA4B46">
        <w:rPr>
          <w:i/>
          <w:sz w:val="18"/>
          <w:szCs w:val="18"/>
        </w:rPr>
        <w:t xml:space="preserve"> &gt; </w:t>
      </w:r>
      <w:r>
        <w:rPr>
          <w:i/>
          <w:sz w:val="18"/>
          <w:szCs w:val="18"/>
        </w:rPr>
        <w:t>Key concept</w:t>
      </w:r>
      <w:r w:rsidRPr="00CA4B46">
        <w:rPr>
          <w:i/>
          <w:sz w:val="18"/>
          <w:szCs w:val="18"/>
        </w:rPr>
        <w:t xml:space="preserve"> </w:t>
      </w:r>
      <w:r w:rsidR="00D91039">
        <w:rPr>
          <w:i/>
          <w:sz w:val="18"/>
          <w:szCs w:val="18"/>
        </w:rPr>
        <w:t>CPS1.</w:t>
      </w:r>
      <w:r w:rsidR="008D46BC">
        <w:rPr>
          <w:i/>
          <w:sz w:val="18"/>
          <w:szCs w:val="18"/>
        </w:rPr>
        <w:t>1</w:t>
      </w:r>
      <w:r w:rsidRPr="00CA4B46">
        <w:rPr>
          <w:i/>
          <w:sz w:val="18"/>
          <w:szCs w:val="18"/>
        </w:rPr>
        <w:t xml:space="preserve">: </w:t>
      </w:r>
      <w:r w:rsidR="00D91039">
        <w:rPr>
          <w:i/>
          <w:sz w:val="18"/>
          <w:szCs w:val="18"/>
        </w:rPr>
        <w:t>A particle model for the solid, liquid and gas states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1CC4B58" w14:textId="77777777" w:rsidTr="0010427F">
        <w:tc>
          <w:tcPr>
            <w:tcW w:w="12021" w:type="dxa"/>
            <w:shd w:val="clear" w:color="auto" w:fill="FABF8F" w:themeFill="accent6" w:themeFillTint="99"/>
          </w:tcPr>
          <w:p w14:paraId="37CD80A0" w14:textId="52748109" w:rsidR="006F3279" w:rsidRPr="00CA4B46" w:rsidRDefault="00B00348" w:rsidP="00B00348">
            <w:pPr>
              <w:ind w:left="1304"/>
              <w:rPr>
                <w:b/>
                <w:sz w:val="40"/>
                <w:szCs w:val="40"/>
              </w:rPr>
            </w:pPr>
            <w:r>
              <w:rPr>
                <w:b/>
                <w:sz w:val="40"/>
                <w:szCs w:val="40"/>
              </w:rPr>
              <w:t xml:space="preserve">Response </w:t>
            </w:r>
            <w:r w:rsidR="00EF6491">
              <w:rPr>
                <w:b/>
                <w:sz w:val="40"/>
                <w:szCs w:val="40"/>
              </w:rPr>
              <w:t>activity</w:t>
            </w:r>
          </w:p>
        </w:tc>
      </w:tr>
      <w:tr w:rsidR="006F3279" w14:paraId="67E74361" w14:textId="77777777" w:rsidTr="0010427F">
        <w:tc>
          <w:tcPr>
            <w:tcW w:w="12021" w:type="dxa"/>
            <w:shd w:val="clear" w:color="auto" w:fill="FBD4B4" w:themeFill="accent6" w:themeFillTint="66"/>
          </w:tcPr>
          <w:p w14:paraId="75736B46" w14:textId="041718E4" w:rsidR="006F3279" w:rsidRPr="00CA4B46" w:rsidRDefault="00D91039" w:rsidP="006F3279">
            <w:pPr>
              <w:spacing w:after="60"/>
              <w:ind w:left="1304"/>
              <w:rPr>
                <w:b/>
                <w:sz w:val="40"/>
                <w:szCs w:val="40"/>
              </w:rPr>
            </w:pPr>
            <w:r>
              <w:rPr>
                <w:b/>
                <w:sz w:val="40"/>
                <w:szCs w:val="40"/>
              </w:rPr>
              <w:t>Water in syringe</w:t>
            </w:r>
          </w:p>
        </w:tc>
      </w:tr>
    </w:tbl>
    <w:p w14:paraId="2E10D042" w14:textId="77777777" w:rsidR="006F3279" w:rsidRPr="006F3279" w:rsidRDefault="006F3279" w:rsidP="00E172C6">
      <w:pPr>
        <w:spacing w:after="180"/>
        <w:rPr>
          <w:b/>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6C993A02" w14:textId="77777777" w:rsidTr="003F16F9">
        <w:trPr>
          <w:trHeight w:val="340"/>
        </w:trPr>
        <w:tc>
          <w:tcPr>
            <w:tcW w:w="2196" w:type="dxa"/>
          </w:tcPr>
          <w:p w14:paraId="56123CA8" w14:textId="057C2212" w:rsidR="003F16F9" w:rsidRDefault="003F16F9" w:rsidP="00B75483">
            <w:pPr>
              <w:spacing w:before="60" w:after="60"/>
            </w:pPr>
            <w:r>
              <w:t xml:space="preserve">Learning </w:t>
            </w:r>
            <w:r w:rsidR="00380AC4">
              <w:t>focus</w:t>
            </w:r>
            <w:r>
              <w:t>:</w:t>
            </w:r>
          </w:p>
        </w:tc>
        <w:tc>
          <w:tcPr>
            <w:tcW w:w="6820" w:type="dxa"/>
          </w:tcPr>
          <w:p w14:paraId="14ADDA37" w14:textId="723C0718" w:rsidR="003F16F9" w:rsidRDefault="005231BF" w:rsidP="0007651D">
            <w:pPr>
              <w:spacing w:before="60" w:after="60"/>
            </w:pPr>
            <w:r w:rsidRPr="005231BF">
              <w:t>Understand a basic particle model of matter that can explain the properties of substances in the gas state.</w:t>
            </w:r>
          </w:p>
        </w:tc>
      </w:tr>
      <w:tr w:rsidR="003F16F9" w14:paraId="2F0A81CA" w14:textId="77777777" w:rsidTr="003F16F9">
        <w:trPr>
          <w:trHeight w:val="340"/>
        </w:trPr>
        <w:tc>
          <w:tcPr>
            <w:tcW w:w="2196" w:type="dxa"/>
          </w:tcPr>
          <w:p w14:paraId="4D534A40" w14:textId="77777777" w:rsidR="003F16F9" w:rsidRDefault="00B75483" w:rsidP="003F16F9">
            <w:pPr>
              <w:spacing w:before="60" w:after="60"/>
            </w:pPr>
            <w:r>
              <w:t>Observable learning outcome</w:t>
            </w:r>
            <w:r w:rsidR="003F16F9">
              <w:t>:</w:t>
            </w:r>
          </w:p>
        </w:tc>
        <w:tc>
          <w:tcPr>
            <w:tcW w:w="6820" w:type="dxa"/>
          </w:tcPr>
          <w:p w14:paraId="0F5445E8" w14:textId="0501E06A" w:rsidR="003F16F9" w:rsidRPr="00A50C9C" w:rsidRDefault="005231BF" w:rsidP="0007651D">
            <w:pPr>
              <w:spacing w:before="60" w:after="60"/>
              <w:rPr>
                <w:b/>
              </w:rPr>
            </w:pPr>
            <w:r w:rsidRPr="005231BF">
              <w:t>Describe how the arrangement and movement of particles alters when a su</w:t>
            </w:r>
            <w:r>
              <w:t>bs</w:t>
            </w:r>
            <w:r w:rsidRPr="005231BF">
              <w:t>tance changes from the liquid to gas state.</w:t>
            </w:r>
          </w:p>
        </w:tc>
      </w:tr>
      <w:tr w:rsidR="000505CA" w14:paraId="19665489" w14:textId="77777777" w:rsidTr="003F16F9">
        <w:trPr>
          <w:trHeight w:val="340"/>
        </w:trPr>
        <w:tc>
          <w:tcPr>
            <w:tcW w:w="2196" w:type="dxa"/>
          </w:tcPr>
          <w:p w14:paraId="4121F82D" w14:textId="2F23FCA7" w:rsidR="000505CA" w:rsidRDefault="00EF6491" w:rsidP="000505CA">
            <w:pPr>
              <w:spacing w:before="60" w:after="60"/>
            </w:pPr>
            <w:r>
              <w:t xml:space="preserve">Activity </w:t>
            </w:r>
            <w:r w:rsidR="000505CA">
              <w:t>type:</w:t>
            </w:r>
          </w:p>
        </w:tc>
        <w:tc>
          <w:tcPr>
            <w:tcW w:w="6820" w:type="dxa"/>
          </w:tcPr>
          <w:p w14:paraId="4F3AAF5D" w14:textId="7AE23DC6" w:rsidR="000505CA" w:rsidRDefault="003734CE" w:rsidP="0009089A">
            <w:pPr>
              <w:spacing w:before="60" w:after="60"/>
            </w:pPr>
            <w:r>
              <w:rPr>
                <w:rFonts w:ascii="Calibri" w:eastAsia="Calibri" w:hAnsi="Calibri"/>
              </w:rPr>
              <w:t>p</w:t>
            </w:r>
            <w:r w:rsidR="00380AC4">
              <w:rPr>
                <w:rFonts w:ascii="Calibri" w:eastAsia="Calibri" w:hAnsi="Calibri"/>
              </w:rPr>
              <w:t>redict</w:t>
            </w:r>
            <w:r>
              <w:rPr>
                <w:rFonts w:ascii="Calibri" w:eastAsia="Calibri" w:hAnsi="Calibri"/>
              </w:rPr>
              <w:t xml:space="preserve"> </w:t>
            </w:r>
            <w:r w:rsidR="00380AC4">
              <w:rPr>
                <w:rFonts w:ascii="Calibri" w:eastAsia="Calibri" w:hAnsi="Calibri"/>
              </w:rPr>
              <w:t>explain</w:t>
            </w:r>
            <w:r>
              <w:rPr>
                <w:rFonts w:ascii="Calibri" w:eastAsia="Calibri" w:hAnsi="Calibri"/>
              </w:rPr>
              <w:t xml:space="preserve"> </w:t>
            </w:r>
            <w:r w:rsidR="00380AC4">
              <w:rPr>
                <w:rFonts w:ascii="Calibri" w:eastAsia="Calibri" w:hAnsi="Calibri"/>
              </w:rPr>
              <w:t>observe</w:t>
            </w:r>
            <w:r>
              <w:rPr>
                <w:rFonts w:ascii="Calibri" w:eastAsia="Calibri" w:hAnsi="Calibri"/>
              </w:rPr>
              <w:t xml:space="preserve"> </w:t>
            </w:r>
            <w:r w:rsidR="00380AC4">
              <w:rPr>
                <w:rFonts w:ascii="Calibri" w:eastAsia="Calibri" w:hAnsi="Calibri"/>
              </w:rPr>
              <w:t>e</w:t>
            </w:r>
            <w:r w:rsidR="00380AC4" w:rsidRPr="00805E7C">
              <w:rPr>
                <w:rFonts w:ascii="Calibri" w:eastAsia="Calibri" w:hAnsi="Calibri"/>
              </w:rPr>
              <w:t>xplain</w:t>
            </w:r>
          </w:p>
        </w:tc>
      </w:tr>
      <w:tr w:rsidR="000505CA" w14:paraId="413834D4" w14:textId="77777777" w:rsidTr="003F16F9">
        <w:trPr>
          <w:trHeight w:val="340"/>
        </w:trPr>
        <w:tc>
          <w:tcPr>
            <w:tcW w:w="2196" w:type="dxa"/>
          </w:tcPr>
          <w:p w14:paraId="05C5C5C5" w14:textId="77777777" w:rsidR="000505CA" w:rsidRDefault="000505CA" w:rsidP="000505CA">
            <w:pPr>
              <w:spacing w:before="60" w:after="60"/>
            </w:pPr>
            <w:r>
              <w:t>Key words:</w:t>
            </w:r>
          </w:p>
        </w:tc>
        <w:tc>
          <w:tcPr>
            <w:tcW w:w="6820" w:type="dxa"/>
            <w:tcBorders>
              <w:bottom w:val="dotted" w:sz="4" w:space="0" w:color="auto"/>
            </w:tcBorders>
          </w:tcPr>
          <w:p w14:paraId="0F40BA4F" w14:textId="736799B3" w:rsidR="000505CA" w:rsidRDefault="005231BF" w:rsidP="000505CA">
            <w:pPr>
              <w:spacing w:before="60" w:after="60"/>
            </w:pPr>
            <w:r>
              <w:t>gas, state , particles, volume</w:t>
            </w:r>
          </w:p>
        </w:tc>
      </w:tr>
    </w:tbl>
    <w:p w14:paraId="7ABD4579" w14:textId="3BE6B0BD" w:rsidR="00E172C6" w:rsidRDefault="00E172C6" w:rsidP="00E172C6">
      <w:pPr>
        <w:spacing w:after="180"/>
      </w:pPr>
    </w:p>
    <w:p w14:paraId="3DFDA88D" w14:textId="7872F0D8" w:rsidR="00120A24" w:rsidRPr="00120A24" w:rsidRDefault="00120A24" w:rsidP="00120A24">
      <w:pPr>
        <w:spacing w:after="180"/>
        <w:rPr>
          <w:rFonts w:cstheme="minorHAnsi"/>
        </w:rPr>
      </w:pPr>
      <w:bookmarkStart w:id="0" w:name="_Hlk516066270"/>
      <w:r w:rsidRPr="004056D6">
        <w:rPr>
          <w:rFonts w:cstheme="minorHAnsi"/>
          <w:color w:val="222222"/>
          <w:shd w:val="clear" w:color="auto" w:fill="FFFFFF"/>
        </w:rPr>
        <w:t xml:space="preserve">This activity can help </w:t>
      </w:r>
      <w:r w:rsidRPr="00120A24">
        <w:rPr>
          <w:rFonts w:cstheme="minorHAnsi"/>
          <w:color w:val="222222"/>
          <w:shd w:val="clear" w:color="auto" w:fill="FFFFFF"/>
        </w:rPr>
        <w:t xml:space="preserve">develop students’ understanding by addressing the </w:t>
      </w:r>
      <w:r w:rsidR="003734CE">
        <w:rPr>
          <w:rFonts w:cstheme="minorHAnsi"/>
          <w:color w:val="222222"/>
          <w:shd w:val="clear" w:color="auto" w:fill="FFFFFF"/>
        </w:rPr>
        <w:t>misunderstandings</w:t>
      </w:r>
      <w:r w:rsidRPr="00120A24">
        <w:rPr>
          <w:rFonts w:cstheme="minorHAnsi"/>
          <w:color w:val="222222"/>
          <w:shd w:val="clear" w:color="auto" w:fill="FFFFFF"/>
        </w:rPr>
        <w:t xml:space="preserve"> revealed by the following diagnostic questi</w:t>
      </w:r>
      <w:r w:rsidR="00195673">
        <w:rPr>
          <w:rFonts w:cstheme="minorHAnsi"/>
          <w:color w:val="222222"/>
          <w:shd w:val="clear" w:color="auto" w:fill="FFFFFF"/>
        </w:rPr>
        <w:t>on:</w:t>
      </w:r>
    </w:p>
    <w:p w14:paraId="1C171E9A" w14:textId="4FD0AEBA" w:rsidR="00120A24" w:rsidRPr="00120A24" w:rsidRDefault="00120A24" w:rsidP="00E172C6">
      <w:pPr>
        <w:pStyle w:val="ListParagraph"/>
        <w:numPr>
          <w:ilvl w:val="0"/>
          <w:numId w:val="1"/>
        </w:numPr>
        <w:spacing w:after="180"/>
      </w:pPr>
      <w:r w:rsidRPr="00120A24">
        <w:t>A particle model for the gas state</w:t>
      </w:r>
    </w:p>
    <w:bookmarkEnd w:id="0"/>
    <w:p w14:paraId="5D783066" w14:textId="77777777" w:rsidR="00F72ECC" w:rsidRDefault="00F72ECC" w:rsidP="00F72ECC"/>
    <w:p w14:paraId="66E5A83F" w14:textId="77777777" w:rsidR="00C05571" w:rsidRPr="0010427F" w:rsidRDefault="00BB44B4" w:rsidP="00026DEC">
      <w:pPr>
        <w:spacing w:after="180"/>
        <w:rPr>
          <w:b/>
          <w:color w:val="E36C0A" w:themeColor="accent6" w:themeShade="BF"/>
          <w:sz w:val="24"/>
        </w:rPr>
      </w:pPr>
      <w:r w:rsidRPr="0010427F">
        <w:rPr>
          <w:b/>
          <w:color w:val="E36C0A" w:themeColor="accent6" w:themeShade="BF"/>
          <w:sz w:val="24"/>
        </w:rPr>
        <w:t>What does the research say</w:t>
      </w:r>
      <w:r w:rsidR="00C05571" w:rsidRPr="0010427F">
        <w:rPr>
          <w:b/>
          <w:color w:val="E36C0A" w:themeColor="accent6" w:themeShade="BF"/>
          <w:sz w:val="24"/>
        </w:rPr>
        <w:t>?</w:t>
      </w:r>
    </w:p>
    <w:p w14:paraId="44010D13" w14:textId="77777777" w:rsidR="00380AC4" w:rsidRDefault="00380AC4" w:rsidP="00380AC4">
      <w:pPr>
        <w:spacing w:after="180"/>
      </w:pPr>
      <w:bookmarkStart w:id="1" w:name="_Hlk507674590"/>
      <w:r>
        <w:t>Johnson and Papageorgiou (2010) suggest that the use of a ‘solids, liquids and gases’ framework for teaching may give rise to students misunderstanding the states of matter by inferring that solids, liquids and gases are three different types of matter. ‘Gases’ at room temperature are in fact substances where the forces of attraction between particles are very weak and therefore these forces are overcome, even at room temperature.</w:t>
      </w:r>
    </w:p>
    <w:p w14:paraId="775F59C1" w14:textId="77777777" w:rsidR="00380AC4" w:rsidRDefault="00380AC4" w:rsidP="00380AC4">
      <w:pPr>
        <w:spacing w:after="180"/>
      </w:pPr>
      <w:r>
        <w:t>Research has found that students often have a very weak understanding of what ‘a gas’ actually is. Evidence suggests that students may benefit from extrapolating the particle model to predict the arrangement and movement of particles that form a substance in the gas state. This particle model may then help students to think of ‘a gas’ as being a substance thereby improving their conceptual understanding of ‘a gas’. Linking the model to the arrangement and movement of particles forming a substance in the liquid states may also help students understand changes of state.</w:t>
      </w:r>
    </w:p>
    <w:bookmarkEnd w:id="1"/>
    <w:p w14:paraId="73C6D683" w14:textId="55686832" w:rsidR="007A748B" w:rsidRPr="0010427F" w:rsidRDefault="007A748B" w:rsidP="00026DEC">
      <w:pPr>
        <w:spacing w:after="180"/>
        <w:rPr>
          <w:b/>
          <w:color w:val="E36C0A" w:themeColor="accent6" w:themeShade="BF"/>
          <w:sz w:val="24"/>
        </w:rPr>
      </w:pPr>
      <w:r w:rsidRPr="0010427F">
        <w:rPr>
          <w:b/>
          <w:color w:val="E36C0A" w:themeColor="accent6" w:themeShade="BF"/>
          <w:sz w:val="24"/>
        </w:rPr>
        <w:t xml:space="preserve">Ways to use this </w:t>
      </w:r>
      <w:r w:rsidR="00380AC4">
        <w:rPr>
          <w:b/>
          <w:color w:val="E36C0A" w:themeColor="accent6" w:themeShade="BF"/>
          <w:sz w:val="24"/>
        </w:rPr>
        <w:t>activity</w:t>
      </w:r>
    </w:p>
    <w:p w14:paraId="241376EC" w14:textId="3A4CF7FD" w:rsidR="000D1EEE" w:rsidRPr="00805E7C" w:rsidRDefault="000D1EEE" w:rsidP="000D1EEE">
      <w:pPr>
        <w:tabs>
          <w:tab w:val="center" w:pos="4513"/>
          <w:tab w:val="right" w:pos="9026"/>
        </w:tabs>
        <w:spacing w:after="120"/>
        <w:rPr>
          <w:rFonts w:ascii="Calibri" w:eastAsia="Calibri" w:hAnsi="Calibri"/>
        </w:rPr>
      </w:pPr>
      <w:r>
        <w:rPr>
          <w:rFonts w:ascii="Calibri" w:eastAsia="Calibri" w:hAnsi="Calibri"/>
        </w:rPr>
        <w:t>This is a predict-explain-observe-e</w:t>
      </w:r>
      <w:r w:rsidRPr="00805E7C">
        <w:rPr>
          <w:rFonts w:ascii="Calibri" w:eastAsia="Calibri" w:hAnsi="Calibri"/>
        </w:rPr>
        <w:t xml:space="preserve">xplain </w:t>
      </w:r>
      <w:r>
        <w:rPr>
          <w:rFonts w:ascii="Calibri" w:eastAsia="Calibri" w:hAnsi="Calibri"/>
        </w:rPr>
        <w:t xml:space="preserve">(PEOE) </w:t>
      </w:r>
      <w:r w:rsidRPr="00805E7C">
        <w:rPr>
          <w:rFonts w:ascii="Calibri" w:eastAsia="Calibri" w:hAnsi="Calibri"/>
        </w:rPr>
        <w:t xml:space="preserve">activity, which </w:t>
      </w:r>
      <w:r w:rsidR="00120A24">
        <w:rPr>
          <w:rFonts w:ascii="Calibri" w:eastAsia="Calibri" w:hAnsi="Calibri"/>
        </w:rPr>
        <w:t>should be carried out</w:t>
      </w:r>
      <w:r w:rsidRPr="00805E7C">
        <w:rPr>
          <w:rFonts w:ascii="Calibri" w:eastAsia="Calibri" w:hAnsi="Calibri"/>
        </w:rPr>
        <w:t xml:space="preserve"> </w:t>
      </w:r>
      <w:r w:rsidRPr="00B34998">
        <w:rPr>
          <w:rFonts w:ascii="Calibri" w:eastAsia="Calibri" w:hAnsi="Calibri"/>
        </w:rPr>
        <w:t>as a demonstration.</w:t>
      </w:r>
    </w:p>
    <w:p w14:paraId="425A4E24" w14:textId="653A22EB" w:rsidR="00120A24" w:rsidRDefault="00120A24" w:rsidP="000D1EEE">
      <w:pPr>
        <w:spacing w:after="180"/>
        <w:rPr>
          <w:rFonts w:ascii="Calibri" w:eastAsia="Calibri" w:hAnsi="Calibri"/>
        </w:rPr>
      </w:pPr>
      <w:r>
        <w:rPr>
          <w:rFonts w:ascii="Calibri" w:eastAsia="Calibri" w:hAnsi="Calibri"/>
        </w:rPr>
        <w:t>Prior to the demonstration, one</w:t>
      </w:r>
      <w:r w:rsidR="000D1EEE">
        <w:rPr>
          <w:rFonts w:ascii="Calibri" w:eastAsia="Calibri" w:hAnsi="Calibri"/>
        </w:rPr>
        <w:t xml:space="preserve"> glass syringe </w:t>
      </w:r>
      <w:r>
        <w:rPr>
          <w:rFonts w:ascii="Calibri" w:eastAsia="Calibri" w:hAnsi="Calibri"/>
        </w:rPr>
        <w:t>should be</w:t>
      </w:r>
      <w:r w:rsidR="000D1EEE">
        <w:rPr>
          <w:rFonts w:ascii="Calibri" w:eastAsia="Calibri" w:hAnsi="Calibri"/>
        </w:rPr>
        <w:t xml:space="preserve"> placed in an oven and warmed to 150°C. </w:t>
      </w:r>
    </w:p>
    <w:p w14:paraId="1EB81391" w14:textId="11F72BF0" w:rsidR="00120A24" w:rsidRDefault="00120A24" w:rsidP="000D1EEE">
      <w:pPr>
        <w:spacing w:after="180"/>
        <w:rPr>
          <w:rFonts w:ascii="Calibri" w:eastAsia="Calibri" w:hAnsi="Calibri"/>
        </w:rPr>
      </w:pPr>
      <w:r>
        <w:rPr>
          <w:rFonts w:ascii="Calibri" w:eastAsia="Calibri" w:hAnsi="Calibri"/>
        </w:rPr>
        <w:t>Show students the second, cold, syringe and explain the demonstration to them. This will give students time to make and explain their predictions.</w:t>
      </w:r>
    </w:p>
    <w:p w14:paraId="5E7022FF" w14:textId="6C8E7AE3" w:rsidR="000D1EEE" w:rsidRDefault="000D1EEE" w:rsidP="000D1EEE">
      <w:pPr>
        <w:spacing w:after="180"/>
        <w:rPr>
          <w:rFonts w:ascii="Calibri" w:eastAsia="Calibri" w:hAnsi="Calibri"/>
        </w:rPr>
      </w:pPr>
      <w:r>
        <w:rPr>
          <w:rFonts w:ascii="Calibri" w:eastAsia="Calibri" w:hAnsi="Calibri"/>
        </w:rPr>
        <w:t>Using thermal gloves</w:t>
      </w:r>
      <w:r w:rsidR="003734CE">
        <w:rPr>
          <w:rFonts w:ascii="Calibri" w:eastAsia="Calibri" w:hAnsi="Calibri"/>
        </w:rPr>
        <w:t>,</w:t>
      </w:r>
      <w:r>
        <w:rPr>
          <w:rFonts w:ascii="Calibri" w:eastAsia="Calibri" w:hAnsi="Calibri"/>
        </w:rPr>
        <w:t xml:space="preserve"> remove</w:t>
      </w:r>
      <w:r w:rsidR="00120A24">
        <w:rPr>
          <w:rFonts w:ascii="Calibri" w:eastAsia="Calibri" w:hAnsi="Calibri"/>
        </w:rPr>
        <w:t xml:space="preserve"> the other syringe from the oven </w:t>
      </w:r>
      <w:r>
        <w:rPr>
          <w:rFonts w:ascii="Calibri" w:eastAsia="Calibri" w:hAnsi="Calibri"/>
        </w:rPr>
        <w:t>and place</w:t>
      </w:r>
      <w:r w:rsidR="00120A24">
        <w:rPr>
          <w:rFonts w:ascii="Calibri" w:eastAsia="Calibri" w:hAnsi="Calibri"/>
        </w:rPr>
        <w:t xml:space="preserve"> it</w:t>
      </w:r>
      <w:r>
        <w:rPr>
          <w:rFonts w:ascii="Calibri" w:eastAsia="Calibri" w:hAnsi="Calibri"/>
        </w:rPr>
        <w:t xml:space="preserve"> on a heatproof mat. Immediately inject a small (0.05 cm</w:t>
      </w:r>
      <w:r>
        <w:rPr>
          <w:rFonts w:ascii="Calibri" w:eastAsia="Calibri" w:hAnsi="Calibri"/>
          <w:vertAlign w:val="superscript"/>
        </w:rPr>
        <w:t>3</w:t>
      </w:r>
      <w:r>
        <w:rPr>
          <w:rFonts w:ascii="Calibri" w:eastAsia="Calibri" w:hAnsi="Calibri"/>
        </w:rPr>
        <w:t>) drop of water through the rubber cap. The water</w:t>
      </w:r>
      <w:r w:rsidR="00120A24">
        <w:rPr>
          <w:rFonts w:ascii="Calibri" w:eastAsia="Calibri" w:hAnsi="Calibri"/>
        </w:rPr>
        <w:t xml:space="preserve"> will</w:t>
      </w:r>
      <w:r>
        <w:rPr>
          <w:rFonts w:ascii="Calibri" w:eastAsia="Calibri" w:hAnsi="Calibri"/>
        </w:rPr>
        <w:t xml:space="preserve"> evaporat</w:t>
      </w:r>
      <w:r w:rsidR="00120A24">
        <w:rPr>
          <w:rFonts w:ascii="Calibri" w:eastAsia="Calibri" w:hAnsi="Calibri"/>
        </w:rPr>
        <w:t>e</w:t>
      </w:r>
      <w:r>
        <w:rPr>
          <w:rFonts w:ascii="Calibri" w:eastAsia="Calibri" w:hAnsi="Calibri"/>
        </w:rPr>
        <w:t xml:space="preserve"> and </w:t>
      </w:r>
      <w:r w:rsidR="00120A24">
        <w:rPr>
          <w:rFonts w:ascii="Calibri" w:eastAsia="Calibri" w:hAnsi="Calibri"/>
        </w:rPr>
        <w:t xml:space="preserve">the plunger of the gas syringe should be pushed out. This shows </w:t>
      </w:r>
      <w:r>
        <w:rPr>
          <w:rFonts w:ascii="Calibri" w:eastAsia="Calibri" w:hAnsi="Calibri"/>
        </w:rPr>
        <w:t xml:space="preserve">the difference in volume taken by a substance in the gas state compared with the liquid state. </w:t>
      </w:r>
      <w:r w:rsidR="00120A24">
        <w:rPr>
          <w:rFonts w:ascii="Calibri" w:eastAsia="Calibri" w:hAnsi="Calibri"/>
        </w:rPr>
        <w:t>You may also wish to ask</w:t>
      </w:r>
      <w:r>
        <w:rPr>
          <w:rFonts w:ascii="Calibri" w:eastAsia="Calibri" w:hAnsi="Calibri"/>
        </w:rPr>
        <w:t xml:space="preserve"> students what they think will happen as the syringe cools to room temperature.</w:t>
      </w:r>
    </w:p>
    <w:p w14:paraId="607DE17B" w14:textId="61072A71" w:rsidR="000D1EEE" w:rsidRDefault="000D1EEE" w:rsidP="000D1EEE">
      <w:pPr>
        <w:spacing w:after="180"/>
        <w:rPr>
          <w:highlight w:val="yellow"/>
        </w:rPr>
      </w:pPr>
      <w:r>
        <w:rPr>
          <w:rFonts w:ascii="Calibri" w:eastAsia="Calibri" w:hAnsi="Calibri"/>
        </w:rPr>
        <w:t xml:space="preserve">There is a video included in the Stuff and Substance materials available from the National STEM Centre website. </w:t>
      </w:r>
      <w:hyperlink r:id="rId10" w:history="1">
        <w:r w:rsidRPr="00D51CF9">
          <w:rPr>
            <w:rStyle w:val="Hyperlink"/>
            <w:rFonts w:ascii="Calibri" w:eastAsia="Calibri" w:hAnsi="Calibri"/>
          </w:rPr>
          <w:t>https://www.stem.org.uk/rxvpc</w:t>
        </w:r>
      </w:hyperlink>
      <w:r>
        <w:rPr>
          <w:rFonts w:ascii="Calibri" w:eastAsia="Calibri" w:hAnsi="Calibri"/>
        </w:rPr>
        <w:t xml:space="preserve">  The video is a useful guide for a teacher who has not carried out this demonstration before.</w:t>
      </w:r>
    </w:p>
    <w:p w14:paraId="4E467B37" w14:textId="77777777" w:rsidR="007A748B" w:rsidRPr="00D52283" w:rsidRDefault="00D52283" w:rsidP="007A748B">
      <w:pPr>
        <w:spacing w:after="180"/>
        <w:rPr>
          <w:i/>
        </w:rPr>
      </w:pPr>
      <w:r w:rsidRPr="00D52283">
        <w:rPr>
          <w:i/>
        </w:rPr>
        <w:t>Differentiation</w:t>
      </w:r>
    </w:p>
    <w:p w14:paraId="00F1C686" w14:textId="05F1A432" w:rsidR="00D52283" w:rsidRDefault="00B67DEE" w:rsidP="007A748B">
      <w:pPr>
        <w:spacing w:after="180"/>
      </w:pPr>
      <w:r>
        <w:t>Students</w:t>
      </w:r>
      <w:r w:rsidR="00D13B45">
        <w:t xml:space="preserve"> could be provided with a physical model (marbles in a tray) to help them t</w:t>
      </w:r>
      <w:r w:rsidR="000D1EEE">
        <w:t>o predic</w:t>
      </w:r>
      <w:r w:rsidR="00D13B45">
        <w:t>t how the arrangement and movement of particles might change when a substance changes from the liquid to the gas state.</w:t>
      </w:r>
      <w:r>
        <w:t xml:space="preserve"> </w:t>
      </w:r>
    </w:p>
    <w:p w14:paraId="2A86F017" w14:textId="3A081DF1" w:rsidR="00120A24" w:rsidRPr="004C1414" w:rsidRDefault="00120A24" w:rsidP="00120A24">
      <w:pPr>
        <w:spacing w:after="180"/>
        <w:rPr>
          <w:b/>
          <w:color w:val="76923C" w:themeColor="accent3" w:themeShade="BF"/>
        </w:rPr>
      </w:pPr>
      <w:r>
        <w:rPr>
          <w:b/>
          <w:color w:val="E36C0A" w:themeColor="accent6" w:themeShade="BF"/>
          <w:sz w:val="24"/>
        </w:rPr>
        <w:t>Equipment</w:t>
      </w:r>
      <w:r w:rsidRPr="004C1414">
        <w:rPr>
          <w:b/>
          <w:color w:val="76923C" w:themeColor="accent3" w:themeShade="BF"/>
        </w:rPr>
        <w:t xml:space="preserve"> </w:t>
      </w:r>
    </w:p>
    <w:p w14:paraId="6E4D117E" w14:textId="2B2AF107" w:rsidR="00120A24" w:rsidRDefault="00120A24" w:rsidP="00120A24">
      <w:pPr>
        <w:spacing w:after="180"/>
      </w:pPr>
      <w:r w:rsidRPr="005B1739">
        <w:t xml:space="preserve">For </w:t>
      </w:r>
      <w:r>
        <w:t>the demonstration</w:t>
      </w:r>
      <w:r w:rsidRPr="005B1739">
        <w:t>:</w:t>
      </w:r>
    </w:p>
    <w:p w14:paraId="52025190" w14:textId="635591C9" w:rsidR="00120A24" w:rsidRDefault="00120A24" w:rsidP="00120A24">
      <w:pPr>
        <w:pStyle w:val="ListParagraph"/>
        <w:numPr>
          <w:ilvl w:val="0"/>
          <w:numId w:val="1"/>
        </w:numPr>
        <w:spacing w:after="180"/>
      </w:pPr>
      <w:r>
        <w:t>2 glass gas syringes, 100 cm</w:t>
      </w:r>
      <w:r w:rsidRPr="00C26BDD">
        <w:rPr>
          <w:vertAlign w:val="superscript"/>
        </w:rPr>
        <w:t>3</w:t>
      </w:r>
      <w:r>
        <w:t>, fitted with a rubber cap</w:t>
      </w:r>
    </w:p>
    <w:p w14:paraId="3DFFEB30" w14:textId="368A7B6D" w:rsidR="00120A24" w:rsidRDefault="00120A24" w:rsidP="00120A24">
      <w:pPr>
        <w:pStyle w:val="ListParagraph"/>
        <w:numPr>
          <w:ilvl w:val="0"/>
          <w:numId w:val="1"/>
        </w:numPr>
        <w:spacing w:after="180"/>
      </w:pPr>
      <w:r>
        <w:t>plastic syringe, 1 cm</w:t>
      </w:r>
      <w:r w:rsidRPr="00C26BDD">
        <w:rPr>
          <w:vertAlign w:val="superscript"/>
        </w:rPr>
        <w:t>3</w:t>
      </w:r>
      <w:r>
        <w:t xml:space="preserve"> (or smaller), fitted with a hypodermic needle</w:t>
      </w:r>
    </w:p>
    <w:p w14:paraId="1DEE5D2B" w14:textId="1ECDD9C4" w:rsidR="00120A24" w:rsidRDefault="00120A24" w:rsidP="00120A24">
      <w:pPr>
        <w:pStyle w:val="ListParagraph"/>
        <w:numPr>
          <w:ilvl w:val="0"/>
          <w:numId w:val="1"/>
        </w:numPr>
        <w:spacing w:after="180"/>
      </w:pPr>
      <w:r>
        <w:t>thermostatically controlled oven</w:t>
      </w:r>
    </w:p>
    <w:p w14:paraId="5C78EE18" w14:textId="4AE0EE00" w:rsidR="00120A24" w:rsidRDefault="00120A24" w:rsidP="00120A24">
      <w:pPr>
        <w:pStyle w:val="ListParagraph"/>
        <w:numPr>
          <w:ilvl w:val="0"/>
          <w:numId w:val="1"/>
        </w:numPr>
        <w:spacing w:after="180"/>
      </w:pPr>
      <w:r>
        <w:t>heatproof mat</w:t>
      </w:r>
    </w:p>
    <w:p w14:paraId="265306C1" w14:textId="4278C720" w:rsidR="00120A24" w:rsidRDefault="00120A24" w:rsidP="00120A24">
      <w:pPr>
        <w:pStyle w:val="ListParagraph"/>
        <w:numPr>
          <w:ilvl w:val="0"/>
          <w:numId w:val="1"/>
        </w:numPr>
        <w:spacing w:after="180"/>
      </w:pPr>
      <w:r>
        <w:t>water in a beaker</w:t>
      </w:r>
    </w:p>
    <w:p w14:paraId="5A36F380" w14:textId="615DB294" w:rsidR="00120A24" w:rsidRDefault="00120A24" w:rsidP="00120A24">
      <w:pPr>
        <w:pStyle w:val="ListParagraph"/>
        <w:numPr>
          <w:ilvl w:val="0"/>
          <w:numId w:val="1"/>
        </w:numPr>
        <w:spacing w:after="180"/>
      </w:pPr>
      <w:r>
        <w:t>thermal gloves</w:t>
      </w:r>
    </w:p>
    <w:p w14:paraId="1CB6BEF3" w14:textId="77777777" w:rsidR="00B26756" w:rsidRPr="0010427F" w:rsidRDefault="00B26756" w:rsidP="00B26756">
      <w:pPr>
        <w:spacing w:after="180"/>
        <w:rPr>
          <w:b/>
          <w:color w:val="E36C0A" w:themeColor="accent6" w:themeShade="BF"/>
          <w:sz w:val="24"/>
        </w:rPr>
      </w:pPr>
      <w:r w:rsidRPr="0010427F">
        <w:rPr>
          <w:b/>
          <w:color w:val="E36C0A" w:themeColor="accent6" w:themeShade="BF"/>
          <w:sz w:val="24"/>
        </w:rPr>
        <w:t>Technician notes</w:t>
      </w:r>
    </w:p>
    <w:p w14:paraId="035A33F9" w14:textId="161B1919" w:rsidR="00B67DEE" w:rsidRDefault="00B67DEE" w:rsidP="00B67DEE">
      <w:pPr>
        <w:spacing w:after="180"/>
      </w:pPr>
      <w:r>
        <w:t xml:space="preserve">The glass syringe will take some time to be heated to 150 °C and should be placed in the oven </w:t>
      </w:r>
      <w:r w:rsidR="002B342E">
        <w:t xml:space="preserve">well </w:t>
      </w:r>
      <w:r>
        <w:t>ahead of the lesson. The demonstration should be practi</w:t>
      </w:r>
      <w:r w:rsidR="008D46BC">
        <w:t>s</w:t>
      </w:r>
      <w:r>
        <w:t xml:space="preserve">ed ahead to ascertain the size of </w:t>
      </w:r>
      <w:r w:rsidR="002B342E">
        <w:t xml:space="preserve">water </w:t>
      </w:r>
      <w:r>
        <w:t>drop needed to prevent the plunger coming right out.</w:t>
      </w:r>
    </w:p>
    <w:p w14:paraId="7DD6F75E" w14:textId="77777777" w:rsidR="00B26756" w:rsidRPr="0010427F" w:rsidRDefault="00B26756" w:rsidP="00B26756">
      <w:pPr>
        <w:spacing w:after="180"/>
        <w:rPr>
          <w:b/>
          <w:color w:val="E36C0A" w:themeColor="accent6" w:themeShade="BF"/>
          <w:sz w:val="24"/>
        </w:rPr>
      </w:pPr>
      <w:r w:rsidRPr="0010427F">
        <w:rPr>
          <w:b/>
          <w:color w:val="E36C0A" w:themeColor="accent6" w:themeShade="BF"/>
          <w:sz w:val="24"/>
        </w:rPr>
        <w:t>Health and safety</w:t>
      </w:r>
    </w:p>
    <w:p w14:paraId="64C587C6" w14:textId="77777777" w:rsidR="00B67DEE" w:rsidRDefault="00B67DEE" w:rsidP="00B67DEE">
      <w:pPr>
        <w:spacing w:after="180"/>
      </w:pPr>
      <w:r>
        <w:t>The glassware will be very hot and should be handled with thermal gloves. The movement of the plunger of the syringe should not be restricted; it must be free to come out if too much gas is formed.</w:t>
      </w:r>
    </w:p>
    <w:p w14:paraId="08F6932C" w14:textId="77777777" w:rsidR="00B67DEE" w:rsidRDefault="00B67DEE" w:rsidP="00B67DEE">
      <w:pPr>
        <w:spacing w:after="180"/>
      </w:pPr>
      <w:r>
        <w:t>The hypodermic needle can penetrate the skin and should be capped when not in use.</w:t>
      </w:r>
    </w:p>
    <w:p w14:paraId="592F77E2" w14:textId="47C892D0" w:rsidR="00120A24" w:rsidRPr="00120A24" w:rsidRDefault="005768F5" w:rsidP="00026DEC">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14:paraId="2F2E32C2" w14:textId="16BFDA89" w:rsidR="00E172C6" w:rsidRPr="0010427F" w:rsidRDefault="00BB44B4" w:rsidP="00026DEC">
      <w:pPr>
        <w:spacing w:after="180"/>
        <w:rPr>
          <w:b/>
          <w:color w:val="E36C0A" w:themeColor="accent6" w:themeShade="BF"/>
          <w:sz w:val="24"/>
        </w:rPr>
      </w:pPr>
      <w:r w:rsidRPr="0010427F">
        <w:rPr>
          <w:b/>
          <w:color w:val="E36C0A" w:themeColor="accent6" w:themeShade="BF"/>
          <w:sz w:val="24"/>
        </w:rPr>
        <w:t>Expected answers</w:t>
      </w:r>
    </w:p>
    <w:p w14:paraId="69BDCD52" w14:textId="39CA18BB" w:rsidR="000D1EEE" w:rsidRDefault="000D1EEE" w:rsidP="000D1EEE">
      <w:pPr>
        <w:spacing w:after="180"/>
      </w:pPr>
      <w:r>
        <w:t xml:space="preserve">Students should be able to use the particle model predict that the water particles, </w:t>
      </w:r>
      <w:r w:rsidR="003734CE">
        <w:t xml:space="preserve">having entered </w:t>
      </w:r>
      <w:bookmarkStart w:id="2" w:name="_GoBack"/>
      <w:bookmarkEnd w:id="2"/>
      <w:r>
        <w:t xml:space="preserve">the hot syringe, </w:t>
      </w:r>
      <w:r w:rsidR="003734CE">
        <w:t>are able to overcome the forces of attraction between them</w:t>
      </w:r>
      <w:r>
        <w:t>. This will allow them to move further apart and they will take up more space. The water will then be in the gas state.</w:t>
      </w:r>
    </w:p>
    <w:p w14:paraId="225DA335" w14:textId="77777777" w:rsidR="003117F6" w:rsidRPr="0010427F" w:rsidRDefault="00CC78A5" w:rsidP="00026DEC">
      <w:pPr>
        <w:spacing w:after="180"/>
        <w:rPr>
          <w:b/>
          <w:color w:val="E36C0A" w:themeColor="accent6" w:themeShade="BF"/>
          <w:sz w:val="24"/>
        </w:rPr>
      </w:pPr>
      <w:r w:rsidRPr="0010427F">
        <w:rPr>
          <w:b/>
          <w:color w:val="E36C0A" w:themeColor="accent6" w:themeShade="BF"/>
          <w:sz w:val="24"/>
        </w:rPr>
        <w:t>Acknowledgments</w:t>
      </w:r>
    </w:p>
    <w:p w14:paraId="7D4B0024" w14:textId="78258A8F" w:rsidR="00D278E8" w:rsidRDefault="00D278E8" w:rsidP="00E172C6">
      <w:pPr>
        <w:spacing w:after="180"/>
      </w:pPr>
      <w:r>
        <w:t xml:space="preserve">Developed </w:t>
      </w:r>
      <w:r w:rsidR="0015356E">
        <w:t xml:space="preserve">by </w:t>
      </w:r>
      <w:r w:rsidR="00B67DEE">
        <w:t>Helen Harden</w:t>
      </w:r>
      <w:r w:rsidR="0015356E">
        <w:t xml:space="preserve"> (UYSEG</w:t>
      </w:r>
      <w:r w:rsidR="0015356E" w:rsidRPr="00B67DEE">
        <w:t xml:space="preserve">), </w:t>
      </w:r>
      <w:r w:rsidRPr="00B67DEE">
        <w:t xml:space="preserve">from an idea by </w:t>
      </w:r>
      <w:r w:rsidR="00B67DEE" w:rsidRPr="00B67DEE">
        <w:t>Mary Whitehouse (UYSEG</w:t>
      </w:r>
      <w:r w:rsidRPr="00B67DEE">
        <w:t>).</w:t>
      </w:r>
    </w:p>
    <w:p w14:paraId="06E72A24" w14:textId="3AC4648E" w:rsidR="00B67DEE" w:rsidRPr="00C26BDD" w:rsidRDefault="00B67DEE" w:rsidP="00B67DEE">
      <w:pPr>
        <w:spacing w:after="180"/>
      </w:pPr>
      <w:r>
        <w:t>This demonstration was developed by Phil</w:t>
      </w:r>
      <w:r w:rsidR="008D46BC">
        <w:t>ip</w:t>
      </w:r>
      <w:r>
        <w:t xml:space="preserve"> Johnson for the Science Enhancement Programme and is published in </w:t>
      </w:r>
      <w:r>
        <w:rPr>
          <w:i/>
        </w:rPr>
        <w:t xml:space="preserve">Stuff and Substance </w:t>
      </w:r>
      <w:r>
        <w:t xml:space="preserve">which can be downloaded from the STEM learning website </w:t>
      </w:r>
      <w:hyperlink r:id="rId11" w:history="1">
        <w:r w:rsidRPr="00461587">
          <w:rPr>
            <w:rStyle w:val="Hyperlink"/>
          </w:rPr>
          <w:t>https://www.stem.org.uk/rxwwm</w:t>
        </w:r>
      </w:hyperlink>
      <w:r>
        <w:t xml:space="preserve"> </w:t>
      </w:r>
    </w:p>
    <w:p w14:paraId="6D48614C" w14:textId="74B5129F" w:rsidR="00B67DEE" w:rsidRDefault="00B67DEE" w:rsidP="00B67DEE">
      <w:pPr>
        <w:spacing w:after="180"/>
      </w:pPr>
      <w:r w:rsidRPr="0045323E">
        <w:t xml:space="preserve">Images: </w:t>
      </w:r>
      <w:r>
        <w:t xml:space="preserve">Diagram on student sheet and in presentation from page 48 </w:t>
      </w:r>
      <w:r w:rsidRPr="002533EB">
        <w:rPr>
          <w:i/>
        </w:rPr>
        <w:t>Stuff and Substance</w:t>
      </w:r>
      <w:r>
        <w:t xml:space="preserve">  Author Philip Johnson, ©Gatsby Science Enhancement Programme ISBN 978-1-907168-09-3</w:t>
      </w:r>
    </w:p>
    <w:p w14:paraId="61984E87" w14:textId="77777777" w:rsidR="00120A24" w:rsidRDefault="00120A24" w:rsidP="00B67DEE">
      <w:pPr>
        <w:spacing w:after="180"/>
      </w:pPr>
    </w:p>
    <w:p w14:paraId="6B06288F" w14:textId="77777777" w:rsidR="003117F6" w:rsidRPr="0010427F" w:rsidRDefault="003117F6" w:rsidP="00026DEC">
      <w:pPr>
        <w:spacing w:after="180"/>
        <w:rPr>
          <w:b/>
          <w:color w:val="E36C0A" w:themeColor="accent6" w:themeShade="BF"/>
          <w:sz w:val="24"/>
        </w:rPr>
      </w:pPr>
      <w:r w:rsidRPr="0010427F">
        <w:rPr>
          <w:b/>
          <w:color w:val="E36C0A" w:themeColor="accent6" w:themeShade="BF"/>
          <w:sz w:val="24"/>
        </w:rPr>
        <w:t>References</w:t>
      </w:r>
    </w:p>
    <w:p w14:paraId="00F26CEC" w14:textId="77777777" w:rsidR="00B67DEE" w:rsidRPr="00B67DEE" w:rsidRDefault="00B67DEE" w:rsidP="00B67DEE">
      <w:pPr>
        <w:spacing w:after="180"/>
      </w:pPr>
      <w:r w:rsidRPr="00B67DEE">
        <w:t xml:space="preserve">Johnson, P. and Papageorgiou, G. (2010). Rethinking the Introduction of Particle Theory: A Substance-based framework. </w:t>
      </w:r>
      <w:r w:rsidRPr="00B67DEE">
        <w:rPr>
          <w:i/>
        </w:rPr>
        <w:t xml:space="preserve">Journal of Research in Science Teaching. </w:t>
      </w:r>
      <w:r w:rsidRPr="00B67DEE">
        <w:t>42(2) 130-150</w:t>
      </w:r>
    </w:p>
    <w:p w14:paraId="6F493D06" w14:textId="77777777" w:rsidR="00B67DEE" w:rsidRPr="00B67DEE" w:rsidRDefault="00B67DEE" w:rsidP="00B67DEE">
      <w:pPr>
        <w:spacing w:after="180"/>
      </w:pPr>
      <w:r w:rsidRPr="00B67DEE">
        <w:t xml:space="preserve">Johnson, P. (1998). Progression in children’s understanding of a ‘basic’ particle theory: a longitudinal study. </w:t>
      </w:r>
      <w:r w:rsidRPr="00B67DEE">
        <w:rPr>
          <w:i/>
        </w:rPr>
        <w:t>International Journal of Science Education.</w:t>
      </w:r>
      <w:r w:rsidRPr="00B67DEE">
        <w:t xml:space="preserve"> 20(4) 393-412</w:t>
      </w:r>
    </w:p>
    <w:p w14:paraId="64D5FF35" w14:textId="77777777" w:rsidR="003734CE" w:rsidRPr="009D500B" w:rsidRDefault="003734CE" w:rsidP="003734CE">
      <w:pPr>
        <w:widowControl w:val="0"/>
        <w:autoSpaceDE w:val="0"/>
        <w:autoSpaceDN w:val="0"/>
        <w:adjustRightInd w:val="0"/>
        <w:rPr>
          <w:rFonts w:cstheme="minorHAnsi"/>
          <w:szCs w:val="24"/>
        </w:rPr>
      </w:pPr>
      <w:bookmarkStart w:id="3" w:name="_Hlk516748155"/>
      <w:r w:rsidRPr="009D500B">
        <w:rPr>
          <w:rFonts w:cstheme="minorHAnsi"/>
          <w:szCs w:val="24"/>
        </w:rPr>
        <w:t xml:space="preserve">Johnson, P. (2012). Introducing particle theory. In Taber, K. (ed.) </w:t>
      </w:r>
      <w:r w:rsidRPr="009D500B">
        <w:rPr>
          <w:rFonts w:cstheme="minorHAnsi"/>
          <w:i/>
          <w:iCs/>
          <w:szCs w:val="24"/>
        </w:rPr>
        <w:t xml:space="preserve">ASE Science Practice: Teaching Secondary Chemistry. </w:t>
      </w:r>
      <w:r w:rsidRPr="009D500B">
        <w:rPr>
          <w:rFonts w:cstheme="minorHAnsi"/>
          <w:szCs w:val="24"/>
        </w:rPr>
        <w:t>New edition ed. London: Hodder Education.</w:t>
      </w:r>
    </w:p>
    <w:bookmarkEnd w:id="3"/>
    <w:p w14:paraId="664EE0CC" w14:textId="7C667062" w:rsidR="00B46FF9" w:rsidRDefault="00B46FF9" w:rsidP="00B67DEE">
      <w:pPr>
        <w:spacing w:after="180"/>
      </w:pP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995E5D" w14:textId="77777777" w:rsidR="00B760F4" w:rsidRDefault="00B760F4" w:rsidP="000B473B">
      <w:r>
        <w:separator/>
      </w:r>
    </w:p>
  </w:endnote>
  <w:endnote w:type="continuationSeparator" w:id="0">
    <w:p w14:paraId="3A8647C7" w14:textId="77777777" w:rsidR="00B760F4" w:rsidRDefault="00B760F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4127B" w14:textId="48D2B823" w:rsidR="000D1EEE" w:rsidRDefault="000D1EEE"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25D0488" wp14:editId="65839877">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4A04F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C692A">
      <w:rPr>
        <w:noProof/>
      </w:rPr>
      <w:t>4</w:t>
    </w:r>
    <w:r>
      <w:rPr>
        <w:noProof/>
      </w:rPr>
      <w:fldChar w:fldCharType="end"/>
    </w:r>
  </w:p>
  <w:p w14:paraId="5AC5E913" w14:textId="77777777" w:rsidR="000D1EEE" w:rsidRDefault="000D1EEE" w:rsidP="00201AC2">
    <w:pPr>
      <w:pStyle w:val="Footer"/>
      <w:tabs>
        <w:tab w:val="clear" w:pos="4513"/>
        <w:tab w:val="clear" w:pos="9026"/>
        <w:tab w:val="right" w:pos="9072"/>
      </w:tabs>
      <w:rPr>
        <w:sz w:val="16"/>
        <w:szCs w:val="16"/>
      </w:rPr>
    </w:pPr>
    <w:r>
      <w:rPr>
        <w:sz w:val="16"/>
        <w:szCs w:val="16"/>
      </w:rPr>
      <w:t xml:space="preserve">This item may have been edited. Download the original from </w:t>
    </w:r>
    <w:r w:rsidRPr="00ED4562">
      <w:rPr>
        <w:b/>
        <w:sz w:val="16"/>
        <w:szCs w:val="16"/>
      </w:rPr>
      <w:t>www.BestEvidenceScienceTeaching.org</w:t>
    </w:r>
  </w:p>
  <w:p w14:paraId="758B696C" w14:textId="77777777" w:rsidR="000D1EEE" w:rsidRPr="00201AC2" w:rsidRDefault="000D1EEE"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9B88AE" w14:textId="77777777" w:rsidR="00B760F4" w:rsidRDefault="00B760F4" w:rsidP="000B473B">
      <w:r>
        <w:separator/>
      </w:r>
    </w:p>
  </w:footnote>
  <w:footnote w:type="continuationSeparator" w:id="0">
    <w:p w14:paraId="695742E1" w14:textId="77777777" w:rsidR="00B760F4" w:rsidRDefault="00B760F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304DF" w14:textId="77777777" w:rsidR="000D1EEE" w:rsidRPr="004E5592" w:rsidRDefault="000D1EEE"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2BF5ED66" wp14:editId="14A13800">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59264" behindDoc="0" locked="0" layoutInCell="1" allowOverlap="1" wp14:anchorId="07EE1898" wp14:editId="5432225C">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D87F3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F5566" w14:textId="77777777" w:rsidR="000D1EEE" w:rsidRPr="004E5592" w:rsidRDefault="000D1EEE"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047CFCE1" wp14:editId="49FDE99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CF6A231" wp14:editId="0CB8F9F6">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70AAB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01A7E"/>
    <w:multiLevelType w:val="hybridMultilevel"/>
    <w:tmpl w:val="2EAA8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7E4"/>
    <w:rsid w:val="00012A30"/>
    <w:rsid w:val="00015578"/>
    <w:rsid w:val="00024731"/>
    <w:rsid w:val="00026DEC"/>
    <w:rsid w:val="000505CA"/>
    <w:rsid w:val="00063265"/>
    <w:rsid w:val="00072C2E"/>
    <w:rsid w:val="0007651D"/>
    <w:rsid w:val="0009089A"/>
    <w:rsid w:val="000947E2"/>
    <w:rsid w:val="00095E04"/>
    <w:rsid w:val="000B473B"/>
    <w:rsid w:val="000D0E89"/>
    <w:rsid w:val="000D1EEE"/>
    <w:rsid w:val="000E2689"/>
    <w:rsid w:val="0010427F"/>
    <w:rsid w:val="00120A24"/>
    <w:rsid w:val="00142613"/>
    <w:rsid w:val="00144DA7"/>
    <w:rsid w:val="0015356E"/>
    <w:rsid w:val="00161D3F"/>
    <w:rsid w:val="001915D4"/>
    <w:rsid w:val="00194675"/>
    <w:rsid w:val="00195673"/>
    <w:rsid w:val="001A1FED"/>
    <w:rsid w:val="001A20ED"/>
    <w:rsid w:val="001A40E2"/>
    <w:rsid w:val="001C4805"/>
    <w:rsid w:val="00201AC2"/>
    <w:rsid w:val="00214608"/>
    <w:rsid w:val="002178AC"/>
    <w:rsid w:val="0022547C"/>
    <w:rsid w:val="0025410A"/>
    <w:rsid w:val="0027553E"/>
    <w:rsid w:val="0028012F"/>
    <w:rsid w:val="002828DF"/>
    <w:rsid w:val="00287876"/>
    <w:rsid w:val="00292C53"/>
    <w:rsid w:val="00294E22"/>
    <w:rsid w:val="002A08F2"/>
    <w:rsid w:val="002B342E"/>
    <w:rsid w:val="002C05C9"/>
    <w:rsid w:val="002C22EA"/>
    <w:rsid w:val="002C59BA"/>
    <w:rsid w:val="002F41B2"/>
    <w:rsid w:val="00301AA9"/>
    <w:rsid w:val="003117F6"/>
    <w:rsid w:val="00337657"/>
    <w:rsid w:val="003533B8"/>
    <w:rsid w:val="003734CE"/>
    <w:rsid w:val="003752BE"/>
    <w:rsid w:val="00380AC4"/>
    <w:rsid w:val="003A346A"/>
    <w:rsid w:val="003B2917"/>
    <w:rsid w:val="003B541B"/>
    <w:rsid w:val="003E2B2F"/>
    <w:rsid w:val="003E6046"/>
    <w:rsid w:val="003F16F9"/>
    <w:rsid w:val="00430C1F"/>
    <w:rsid w:val="00442595"/>
    <w:rsid w:val="0045323E"/>
    <w:rsid w:val="0048726C"/>
    <w:rsid w:val="004B0EE1"/>
    <w:rsid w:val="004D0D83"/>
    <w:rsid w:val="004E1DF1"/>
    <w:rsid w:val="004E5592"/>
    <w:rsid w:val="0050055B"/>
    <w:rsid w:val="005231BF"/>
    <w:rsid w:val="00524710"/>
    <w:rsid w:val="00555342"/>
    <w:rsid w:val="005560E2"/>
    <w:rsid w:val="005768F5"/>
    <w:rsid w:val="005A452E"/>
    <w:rsid w:val="005A6EE7"/>
    <w:rsid w:val="005E07F2"/>
    <w:rsid w:val="005F1A7B"/>
    <w:rsid w:val="006355D8"/>
    <w:rsid w:val="00642ECD"/>
    <w:rsid w:val="006502A0"/>
    <w:rsid w:val="006772F5"/>
    <w:rsid w:val="006877E4"/>
    <w:rsid w:val="006A4440"/>
    <w:rsid w:val="006B0615"/>
    <w:rsid w:val="006D166B"/>
    <w:rsid w:val="006F3279"/>
    <w:rsid w:val="00704AEE"/>
    <w:rsid w:val="00722F9A"/>
    <w:rsid w:val="00727EC0"/>
    <w:rsid w:val="00754539"/>
    <w:rsid w:val="00781BC6"/>
    <w:rsid w:val="007A3C86"/>
    <w:rsid w:val="007A683E"/>
    <w:rsid w:val="007A748B"/>
    <w:rsid w:val="007D1D65"/>
    <w:rsid w:val="007E0A9E"/>
    <w:rsid w:val="007E5309"/>
    <w:rsid w:val="00800DE1"/>
    <w:rsid w:val="00813F47"/>
    <w:rsid w:val="008450D6"/>
    <w:rsid w:val="00856FCA"/>
    <w:rsid w:val="00873B8C"/>
    <w:rsid w:val="00880E3B"/>
    <w:rsid w:val="008A405F"/>
    <w:rsid w:val="008C7F34"/>
    <w:rsid w:val="008D46BC"/>
    <w:rsid w:val="008E580C"/>
    <w:rsid w:val="008F5038"/>
    <w:rsid w:val="0090047A"/>
    <w:rsid w:val="009158ED"/>
    <w:rsid w:val="00925026"/>
    <w:rsid w:val="00931264"/>
    <w:rsid w:val="00942A4B"/>
    <w:rsid w:val="00961D59"/>
    <w:rsid w:val="00991872"/>
    <w:rsid w:val="009B2D55"/>
    <w:rsid w:val="009C0343"/>
    <w:rsid w:val="009E0D11"/>
    <w:rsid w:val="00A00A1A"/>
    <w:rsid w:val="00A14E3A"/>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67DEE"/>
    <w:rsid w:val="00B75483"/>
    <w:rsid w:val="00B760F4"/>
    <w:rsid w:val="00BA7952"/>
    <w:rsid w:val="00BB1934"/>
    <w:rsid w:val="00BB44B4"/>
    <w:rsid w:val="00BF0BBF"/>
    <w:rsid w:val="00BF6C8A"/>
    <w:rsid w:val="00C05571"/>
    <w:rsid w:val="00C246CE"/>
    <w:rsid w:val="00C57FA2"/>
    <w:rsid w:val="00CC2E4D"/>
    <w:rsid w:val="00CC692A"/>
    <w:rsid w:val="00CC78A5"/>
    <w:rsid w:val="00CC7B16"/>
    <w:rsid w:val="00CE15FE"/>
    <w:rsid w:val="00CF294A"/>
    <w:rsid w:val="00D02E15"/>
    <w:rsid w:val="00D13B45"/>
    <w:rsid w:val="00D14F44"/>
    <w:rsid w:val="00D278E8"/>
    <w:rsid w:val="00D421E8"/>
    <w:rsid w:val="00D44604"/>
    <w:rsid w:val="00D479B3"/>
    <w:rsid w:val="00D52283"/>
    <w:rsid w:val="00D524E5"/>
    <w:rsid w:val="00D5471C"/>
    <w:rsid w:val="00D72FEF"/>
    <w:rsid w:val="00D755FA"/>
    <w:rsid w:val="00D91039"/>
    <w:rsid w:val="00DC4A4E"/>
    <w:rsid w:val="00DD1874"/>
    <w:rsid w:val="00DD63BD"/>
    <w:rsid w:val="00E172C6"/>
    <w:rsid w:val="00E24309"/>
    <w:rsid w:val="00E53D82"/>
    <w:rsid w:val="00E9330A"/>
    <w:rsid w:val="00EE6B97"/>
    <w:rsid w:val="00EE75D2"/>
    <w:rsid w:val="00EF6491"/>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292672"/>
  <w15:docId w15:val="{92E465B4-2258-4189-B000-15720341E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character" w:styleId="Hyperlink">
    <w:name w:val="Hyperlink"/>
    <w:basedOn w:val="DefaultParagraphFont"/>
    <w:uiPriority w:val="99"/>
    <w:unhideWhenUsed/>
    <w:rsid w:val="00B67D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tem.org.uk/rxwwm" TargetMode="External"/><Relationship Id="rId5" Type="http://schemas.openxmlformats.org/officeDocument/2006/relationships/footnotes" Target="footnotes.xml"/><Relationship Id="rId10" Type="http://schemas.openxmlformats.org/officeDocument/2006/relationships/hyperlink" Target="https://www.stem.org.uk/rxvpc"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response_practic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template_chemistry_item_response_practical</Template>
  <TotalTime>99</TotalTime>
  <Pages>4</Pages>
  <Words>899</Words>
  <Characters>5128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HEC Harden</cp:lastModifiedBy>
  <cp:revision>11</cp:revision>
  <cp:lastPrinted>2018-03-01T13:39:00Z</cp:lastPrinted>
  <dcterms:created xsi:type="dcterms:W3CDTF">2018-03-01T12:12:00Z</dcterms:created>
  <dcterms:modified xsi:type="dcterms:W3CDTF">2018-06-15T15:54:00Z</dcterms:modified>
</cp:coreProperties>
</file>